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主送"/>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简体" w:eastAsia="方正小标宋简体" w:cs="??_GB2312"/>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eastAsia="方正小标宋简体" w:cs="??_GB2312"/>
          <w:color w:val="000000"/>
          <w:sz w:val="44"/>
          <w:szCs w:val="44"/>
          <w:lang w:eastAsia="zh-CN"/>
        </w:rPr>
      </w:pPr>
    </w:p>
    <w:tbl>
      <w:tblPr>
        <w:tblStyle w:val="9"/>
        <w:tblpPr w:leftFromText="180" w:rightFromText="180" w:vertAnchor="page" w:horzAnchor="page" w:tblpX="1605" w:tblpY="3680"/>
        <w:tblOverlap w:val="never"/>
        <w:tblW w:w="8380" w:type="dxa"/>
        <w:tblInd w:w="0" w:type="dxa"/>
        <w:tblLayout w:type="fixed"/>
        <w:tblCellMar>
          <w:top w:w="0" w:type="dxa"/>
          <w:left w:w="28" w:type="dxa"/>
          <w:bottom w:w="0" w:type="dxa"/>
          <w:right w:w="28" w:type="dxa"/>
        </w:tblCellMar>
      </w:tblPr>
      <w:tblGrid>
        <w:gridCol w:w="8380"/>
      </w:tblGrid>
      <w:tr>
        <w:tblPrEx>
          <w:tblLayout w:type="fixed"/>
          <w:tblCellMar>
            <w:top w:w="0" w:type="dxa"/>
            <w:left w:w="28" w:type="dxa"/>
            <w:bottom w:w="0" w:type="dxa"/>
            <w:right w:w="28" w:type="dxa"/>
          </w:tblCellMar>
        </w:tblPrEx>
        <w:trPr>
          <w:trHeight w:val="2330" w:hRule="exact"/>
        </w:trPr>
        <w:tc>
          <w:tcPr>
            <w:tcW w:w="8380"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ascii="方正小标宋简体" w:eastAsia="方正小标宋简体"/>
                <w:b/>
                <w:bCs/>
                <w:w w:val="70"/>
                <w:sz w:val="84"/>
                <w:szCs w:val="84"/>
              </w:rPr>
            </w:pPr>
            <w:r>
              <w:rPr>
                <w:rFonts w:hint="eastAsia" w:ascii="方正小标宋简体" w:eastAsia="方正小标宋简体"/>
                <w:b w:val="0"/>
                <w:bCs w:val="0"/>
                <w:color w:val="FF0000"/>
                <w:w w:val="66"/>
                <w:sz w:val="112"/>
                <w:szCs w:val="112"/>
              </w:rPr>
              <w:t>福建省教育厅办公室文件</w:t>
            </w:r>
          </w:p>
        </w:tc>
      </w:tr>
      <w:tr>
        <w:tblPrEx>
          <w:tblLayout w:type="fixed"/>
          <w:tblCellMar>
            <w:top w:w="0" w:type="dxa"/>
            <w:left w:w="28" w:type="dxa"/>
            <w:bottom w:w="0" w:type="dxa"/>
            <w:right w:w="28" w:type="dxa"/>
          </w:tblCellMar>
        </w:tblPrEx>
        <w:trPr>
          <w:trHeight w:val="681" w:hRule="exact"/>
        </w:trPr>
        <w:tc>
          <w:tcPr>
            <w:tcW w:w="8380" w:type="dxa"/>
            <w:vAlign w:val="bottom"/>
          </w:tcPr>
          <w:p>
            <w:pPr>
              <w:keepNext w:val="0"/>
              <w:keepLines w:val="0"/>
              <w:widowControl w:val="0"/>
              <w:suppressLineNumbers w:val="0"/>
              <w:spacing w:before="0" w:beforeLines="0" w:beforeAutospacing="0" w:after="0" w:afterLines="0" w:afterAutospacing="0" w:line="52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闽教办职成〔2021〕6号</w:t>
            </w:r>
          </w:p>
          <w:p>
            <w:pPr>
              <w:tabs>
                <w:tab w:val="left" w:pos="1095"/>
              </w:tabs>
              <w:adjustRightInd w:val="0"/>
              <w:snapToGrid w:val="0"/>
              <w:spacing w:before="120" w:line="318" w:lineRule="atLeast"/>
              <w:ind w:right="339" w:firstLine="168" w:firstLineChars="80"/>
              <w:jc w:val="center"/>
              <w:textAlignment w:val="bottom"/>
              <w:rPr>
                <w:rFonts w:ascii="仿宋_GB2312" w:hAnsi="仿宋" w:eastAsia="仿宋_GB2312"/>
              </w:rPr>
            </w:pPr>
          </w:p>
        </w:tc>
      </w:tr>
      <w:tr>
        <w:tblPrEx>
          <w:tblLayout w:type="fixed"/>
          <w:tblCellMar>
            <w:top w:w="0" w:type="dxa"/>
            <w:left w:w="28" w:type="dxa"/>
            <w:bottom w:w="0" w:type="dxa"/>
            <w:right w:w="28" w:type="dxa"/>
          </w:tblCellMar>
        </w:tblPrEx>
        <w:trPr>
          <w:trHeight w:val="141" w:hRule="exact"/>
        </w:trPr>
        <w:tc>
          <w:tcPr>
            <w:tcW w:w="8380"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62336" behindDoc="1" locked="0" layoutInCell="1" allowOverlap="1">
                      <wp:simplePos x="0" y="0"/>
                      <wp:positionH relativeFrom="column">
                        <wp:posOffset>-154940</wp:posOffset>
                      </wp:positionH>
                      <wp:positionV relativeFrom="paragraph">
                        <wp:posOffset>108585</wp:posOffset>
                      </wp:positionV>
                      <wp:extent cx="5742940" cy="635"/>
                      <wp:effectExtent l="0" t="19050" r="10160" b="37465"/>
                      <wp:wrapTight wrapText="bothSides">
                        <wp:wrapPolygon>
                          <wp:start x="0" y="-648000"/>
                          <wp:lineTo x="0" y="0"/>
                          <wp:lineTo x="21495" y="0"/>
                          <wp:lineTo x="21495" y="-648000"/>
                          <wp:lineTo x="0" y="-648000"/>
                        </wp:wrapPolygon>
                      </wp:wrapTight>
                      <wp:docPr id="4" name="直接连接符 4"/>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2pt;margin-top:8.55pt;height:0.05pt;width:452.2pt;mso-wrap-distance-left:9pt;mso-wrap-distance-right:9pt;z-index:-251654144;mso-width-relative:page;mso-height-relative:page;" filled="f" stroked="t" coordsize="21600,21600" wrapcoords="0 -648000 0 0 21495 0 21495 -648000 0 -648000" o:gfxdata="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0flTPaAAAACQEA&#10;AA8AAAAAAAAAAQAgAAAAIgAAAGRycy9kb3ducmV2LnhtbFBLAQIUABQAAAAIAIdO4kAJoqVa3wEA&#10;AJkDAAAOAAAAAAAAAAEAIAAAACkBAABkcnMvZTJvRG9jLnhtbFBLBQYAAAAABgAGAFkBAAB6BQAA&#10;AAA=&#10;">
                      <v:fill on="f" focussize="0,0"/>
                      <v:stroke weight="3pt" color="#FF0000" joinstyle="round"/>
                      <v:imagedata o:title=""/>
                      <o:lock v:ext="edit" aspectratio="f"/>
                      <w10:wrap type="tight"/>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福建省教育厅办公室关于</w:t>
      </w:r>
      <w:r>
        <w:rPr>
          <w:rFonts w:hint="eastAsia" w:ascii="方正小标宋简体" w:hAnsi="方正小标宋简体" w:eastAsia="方正小标宋简体" w:cs="方正小标宋简体"/>
          <w:sz w:val="44"/>
          <w:szCs w:val="44"/>
          <w:lang w:val="en-US" w:eastAsia="zh-CN"/>
        </w:rPr>
        <w:t>做好第四批1+X</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证书制度试点申报工作</w:t>
      </w:r>
      <w:r>
        <w:rPr>
          <w:rFonts w:hint="eastAsia" w:ascii="方正小标宋简体" w:hAnsi="方正小标宋简体" w:eastAsia="方正小标宋简体" w:cs="方正小标宋简体"/>
          <w:sz w:val="44"/>
          <w:szCs w:val="44"/>
          <w:lang w:eastAsia="zh-CN"/>
        </w:rPr>
        <w:t>的通知</w:t>
      </w:r>
    </w:p>
    <w:p>
      <w:pPr>
        <w:pStyle w:val="2"/>
        <w:keepNext w:val="0"/>
        <w:keepLines w:val="0"/>
        <w:pageBreakBefore w:val="0"/>
        <w:kinsoku/>
        <w:overflowPunct/>
        <w:topLinePunct w:val="0"/>
        <w:bidi w:val="0"/>
        <w:adjustRightInd/>
        <w:snapToGrid/>
        <w:spacing w:line="600" w:lineRule="exact"/>
        <w:ind w:left="0" w:leftChars="0" w:right="0" w:rightChars="0"/>
        <w:rPr>
          <w:rFonts w:hint="eastAsia"/>
          <w:color w:val="auto"/>
        </w:rPr>
      </w:pPr>
    </w:p>
    <w:bookmarkEnd w:id="0"/>
    <w:p>
      <w:pPr>
        <w:keepNext w:val="0"/>
        <w:keepLines w:val="0"/>
        <w:pageBreakBefore w:val="0"/>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olor w:val="auto"/>
          <w:sz w:val="30"/>
          <w:szCs w:val="30"/>
        </w:rPr>
      </w:pPr>
      <w:r>
        <w:rPr>
          <w:rFonts w:hint="eastAsia" w:ascii="仿宋_GB2312" w:hAnsi="仿宋_GB2312" w:eastAsia="仿宋_GB2312"/>
          <w:color w:val="auto"/>
          <w:sz w:val="32"/>
          <w:szCs w:val="32"/>
        </w:rPr>
        <w:t>各设区市教育局</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平潭综合实验区</w:t>
      </w:r>
      <w:r>
        <w:rPr>
          <w:rFonts w:hint="eastAsia" w:ascii="仿宋_GB2312" w:hAnsi="仿宋_GB2312" w:eastAsia="仿宋_GB2312"/>
          <w:color w:val="auto"/>
          <w:sz w:val="32"/>
          <w:szCs w:val="32"/>
          <w:lang w:eastAsia="zh-CN"/>
        </w:rPr>
        <w:t>社会事业局</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有关本科高校，各高职院校</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省属</w:t>
      </w:r>
      <w:r>
        <w:rPr>
          <w:rFonts w:hint="eastAsia" w:ascii="仿宋_GB2312" w:hAnsi="仿宋_GB2312" w:eastAsia="仿宋_GB2312"/>
          <w:color w:val="auto"/>
          <w:sz w:val="32"/>
          <w:szCs w:val="32"/>
        </w:rPr>
        <w:t>中等职业学校</w:t>
      </w:r>
      <w:r>
        <w:rPr>
          <w:rFonts w:hint="eastAsia" w:ascii="仿宋_GB2312" w:hAnsi="仿宋_GB2312" w:eastAsia="仿宋_GB2312"/>
          <w:color w:val="auto"/>
          <w:sz w:val="30"/>
          <w:szCs w:val="30"/>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为贯彻落实好《国家职业教育改革实施方案》《教育部等四部门印发&lt;关于在院校实施“学历证书+若干职业技能等级证书”制度试点方案&gt;的通知》（教职成〔2019〕6号）和《教育部办公厅 国家发展改革委办公厅 财政部办公厅关于推进1+X证书制度试点工作的指导意见》（教职成厅函〔2019〕19号）精神，稳步推进我省1+X证书制度试点工作，现将第四批1+X证书制度试点申报工作有关事项通知如下：</w:t>
      </w:r>
    </w:p>
    <w:p>
      <w:pPr>
        <w:keepNext w:val="0"/>
        <w:keepLines w:val="0"/>
        <w:pageBreakBefore w:val="0"/>
        <w:numPr>
          <w:ilvl w:val="0"/>
          <w:numId w:val="1"/>
        </w:numPr>
        <w:kinsoku/>
        <w:wordWrap/>
        <w:overflowPunct/>
        <w:topLinePunct w:val="0"/>
        <w:autoSpaceDE w:val="0"/>
        <w:autoSpaceDN w:val="0"/>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试点证书范围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教育部职业技术教育中心研究所《关于授权发布参与1+X证书制度试点的第四批职业教育培训评价组织及职业技能等级证书的通知》（教职所〔2020〕257号），经国务院职业教育工作部际联席会议审议，确定第四批1+X证书制度试点共355个职业技能等级证书（见附件）。</w:t>
      </w:r>
    </w:p>
    <w:p>
      <w:pPr>
        <w:keepNext w:val="0"/>
        <w:keepLines w:val="0"/>
        <w:pageBreakBefore w:val="0"/>
        <w:kinsoku/>
        <w:wordWrap/>
        <w:overflowPunct/>
        <w:topLinePunct w:val="0"/>
        <w:autoSpaceDE w:val="0"/>
        <w:autoSpaceDN w:val="0"/>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二、试点院校范围和条件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试点院校以高职院校、中等职业学校（不含技工学校）为主，本科层次职业教育试点学校、应用型本科高校参与。拟申报试点院校应具备以下条件：</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（一）开设有与拟参与试点证书对应的专业，近3年连续招生，具备一定相关领域职业培训经验。</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（二）拟参与试点的专业建设基础好，人才培养质量高，贯彻落实职业教育国家教学标准有力，有较为完备的专业人才培养方案和满足教学、培训需要的教学资源。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拟参与试点的培训团队有具备培训能力的专兼职师资队伍，其中“双师型”教师不少于50%，行业企业专家比例不低于20%，具有满足模块化教学需要的结构化教师教学团队。国家级职业教育教师教学创新团队所在专业优先参与试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（四）具备满足证书培训需要的教学条件和实习实训设施设备。有关设施设备可通过租用等方式，与有关企业、基地和院校合理共用。</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（五）制度体系健全，教学管理规范，团队保障有力。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val="0"/>
        <w:wordWrap/>
        <w:overflowPunct w:val="0"/>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不同证书对院校实施培训的有关条件要求由相关职业教育培训评价组织（以下简称培训评价组织）发布。</w:t>
      </w:r>
      <w:r>
        <w:rPr>
          <w:rFonts w:hint="eastAsia" w:ascii="仿宋_GB2312" w:hAnsi="仿宋_GB2312" w:eastAsia="仿宋_GB2312" w:cs="仿宋_GB2312"/>
          <w:color w:val="auto"/>
          <w:sz w:val="32"/>
          <w:szCs w:val="32"/>
          <w:lang w:val="en-US" w:eastAsia="zh-CN"/>
        </w:rPr>
        <w:t>可登录“职业技能等级证书信息管理服务平台”(以下简称“管理平台”，网址：https://vslc.ncb.edu.cn)的“通知公告</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栏，查询第四批1+X证书制度试点355个职业技能等级证书的标准、对应专业、实训条件等相关要求。</w:t>
      </w:r>
    </w:p>
    <w:p>
      <w:pPr>
        <w:keepNext w:val="0"/>
        <w:keepLines w:val="0"/>
        <w:pageBreakBefore w:val="0"/>
        <w:kinsoku/>
        <w:wordWrap/>
        <w:overflowPunct/>
        <w:topLinePunct w:val="0"/>
        <w:autoSpaceDE w:val="0"/>
        <w:autoSpaceDN w:val="0"/>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三、试点申报和确定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sz w:val="32"/>
          <w:szCs w:val="32"/>
          <w:lang w:val="en-US" w:eastAsia="zh-CN"/>
        </w:rPr>
        <w:t>（一）院校申报。</w:t>
      </w:r>
      <w:r>
        <w:rPr>
          <w:rFonts w:hint="eastAsia" w:ascii="仿宋_GB2312" w:hAnsi="仿宋_GB2312" w:eastAsia="仿宋_GB2312" w:cs="仿宋_GB2312"/>
          <w:color w:val="auto"/>
          <w:sz w:val="32"/>
          <w:szCs w:val="32"/>
          <w:lang w:val="en-US" w:eastAsia="zh-CN"/>
        </w:rPr>
        <w:t>各类院校对照试点申报条件，围绕办学定位，结合学校专业建设实际，自主选择试点证书类别和等级，提出试点规模，按照“一证一方案”的原则，分证书制订本校试点工作方案，通过“管理平台”完成申报工作。相关操作流程详见“试点院校业务平台操作手册”。新申报试点院校通过“管理平台”自主进行账号注册（需要手机绑定），一所院校只能注册一次；已经开展试点的院校可使用“1+X”试点制度周报平台账号密码直接登录操作。</w:t>
      </w:r>
      <w:r>
        <w:rPr>
          <w:rFonts w:hint="eastAsia" w:ascii="仿宋_GB2312" w:hAnsi="仿宋_GB2312" w:eastAsia="仿宋_GB2312" w:cs="仿宋_GB2312"/>
          <w:color w:val="auto"/>
          <w:sz w:val="32"/>
          <w:szCs w:val="32"/>
          <w:u w:val="none"/>
          <w:lang w:val="en-US" w:eastAsia="zh-CN"/>
        </w:rPr>
        <w:t>请有意愿申报试点的院校安排专人于5月30日前完成申报工作，申报成功后，平台自动生成汇总信息，无需行文报送。</w:t>
      </w:r>
    </w:p>
    <w:p>
      <w:pPr>
        <w:pStyle w:val="2"/>
        <w:keepNext w:val="0"/>
        <w:keepLines w:val="0"/>
        <w:pageBreakBefore w:val="0"/>
        <w:kinsoku/>
        <w:wordWrap/>
        <w:overflowPunct/>
        <w:topLinePunct w:val="0"/>
        <w:bidi w:val="0"/>
        <w:adjustRightInd/>
        <w:snapToGrid/>
        <w:spacing w:line="580" w:lineRule="exact"/>
        <w:ind w:left="0" w:leftChars="0" w:right="0" w:rightChars="0" w:firstLine="643" w:firstLineChars="200"/>
        <w:jc w:val="left"/>
        <w:textAlignment w:val="auto"/>
        <w:rPr>
          <w:rFonts w:hint="eastAsia"/>
          <w:color w:val="auto"/>
          <w:lang w:val="en-US" w:eastAsia="zh-CN"/>
        </w:rPr>
      </w:pPr>
      <w:r>
        <w:rPr>
          <w:rFonts w:hint="eastAsia" w:ascii="仿宋_GB2312" w:hAnsi="仿宋_GB2312" w:eastAsia="仿宋_GB2312" w:cs="仿宋_GB2312"/>
          <w:b/>
          <w:bCs/>
          <w:color w:val="auto"/>
          <w:sz w:val="32"/>
          <w:szCs w:val="32"/>
          <w:lang w:val="en-US" w:eastAsia="zh-CN"/>
        </w:rPr>
        <w:t>（二）审核确定。</w:t>
      </w:r>
      <w:r>
        <w:rPr>
          <w:rFonts w:hint="eastAsia" w:ascii="仿宋_GB2312" w:hAnsi="仿宋_GB2312" w:eastAsia="仿宋_GB2312" w:cs="仿宋_GB2312"/>
          <w:color w:val="auto"/>
          <w:sz w:val="32"/>
          <w:szCs w:val="32"/>
          <w:lang w:val="en-US" w:eastAsia="zh-CN"/>
        </w:rPr>
        <w:t>各设区市教育局、平潭综合实验区社会事业局要对所属院校的试点申报条件进行初审（管理平台网址：https://vslc.ncb.edu.cn）。经我厅审核，确定我省参加第四批1+X证书制度试点的院校名单和试点规模，并反馈申报院校。重点鼓励院校开展</w:t>
      </w:r>
      <w:r>
        <w:rPr>
          <w:rFonts w:hint="eastAsia" w:ascii="仿宋_GB2312" w:eastAsia="仿宋_GB2312"/>
          <w:color w:val="auto"/>
          <w:sz w:val="32"/>
          <w:szCs w:val="32"/>
        </w:rPr>
        <w:t>现代农业、先进制造业、现代服务业、战略性新兴产业、海洋产业和生态环境保护等</w:t>
      </w:r>
      <w:r>
        <w:rPr>
          <w:rFonts w:hint="eastAsia" w:ascii="仿宋_GB2312" w:eastAsia="仿宋_GB2312"/>
          <w:color w:val="auto"/>
          <w:sz w:val="32"/>
          <w:szCs w:val="32"/>
          <w:lang w:eastAsia="zh-CN"/>
        </w:rPr>
        <w:t>重点</w:t>
      </w:r>
      <w:r>
        <w:rPr>
          <w:rFonts w:hint="eastAsia" w:ascii="仿宋_GB2312" w:eastAsia="仿宋_GB2312"/>
          <w:color w:val="auto"/>
          <w:sz w:val="32"/>
          <w:szCs w:val="32"/>
        </w:rPr>
        <w:t>领域</w:t>
      </w:r>
      <w:r>
        <w:rPr>
          <w:rFonts w:hint="eastAsia" w:ascii="仿宋_GB2312" w:eastAsia="仿宋_GB2312"/>
          <w:color w:val="auto"/>
          <w:sz w:val="32"/>
          <w:szCs w:val="32"/>
          <w:lang w:eastAsia="zh-CN"/>
        </w:rPr>
        <w:t>相关证书</w:t>
      </w:r>
      <w:r>
        <w:rPr>
          <w:rFonts w:hint="eastAsia" w:ascii="仿宋_GB2312" w:hAnsi="仿宋_GB2312" w:eastAsia="仿宋_GB2312" w:cs="仿宋_GB2312"/>
          <w:color w:val="auto"/>
          <w:sz w:val="32"/>
          <w:szCs w:val="32"/>
          <w:lang w:val="en-US" w:eastAsia="zh-CN"/>
        </w:rPr>
        <w:t>试点。试点工作适当向国家“双高计划”建设院校、国家（骨干、示范）高职院校、国家中等职业教育改革发展示范学校、省示范性现代职业院校、省示范性应用型本科高校等优质院校倾斜。</w:t>
      </w:r>
    </w:p>
    <w:p>
      <w:pPr>
        <w:keepNext w:val="0"/>
        <w:keepLines w:val="0"/>
        <w:pageBreakBefore w:val="0"/>
        <w:kinsoku/>
        <w:wordWrap/>
        <w:overflowPunct/>
        <w:topLinePunct w:val="0"/>
        <w:autoSpaceDE w:val="0"/>
        <w:autoSpaceDN w:val="0"/>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四、工作要求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（一）开展1+X证书制度改革试点，是</w:t>
      </w:r>
      <w:r>
        <w:rPr>
          <w:rFonts w:hint="eastAsia" w:ascii="仿宋_GB2312" w:eastAsia="仿宋_GB2312"/>
          <w:color w:val="auto"/>
          <w:sz w:val="32"/>
          <w:szCs w:val="32"/>
        </w:rPr>
        <w:t>《国家职业教育改革实施方案》</w:t>
      </w:r>
      <w:r>
        <w:rPr>
          <w:rFonts w:hint="eastAsia" w:ascii="仿宋_GB2312" w:eastAsia="仿宋_GB2312"/>
          <w:color w:val="auto"/>
          <w:sz w:val="32"/>
          <w:szCs w:val="32"/>
          <w:lang w:eastAsia="zh-CN"/>
        </w:rPr>
        <w:t>确定的职业教育改革试点项目，是深化职业教育人才培养模式改革，促进书证融通、拓展学生就业创业本领的重大制度设计。</w:t>
      </w:r>
      <w:r>
        <w:rPr>
          <w:rFonts w:hint="eastAsia" w:ascii="仿宋_GB2312" w:hAnsi="仿宋_GB2312" w:eastAsia="仿宋_GB2312" w:cs="仿宋_GB2312"/>
          <w:color w:val="auto"/>
          <w:sz w:val="32"/>
          <w:szCs w:val="32"/>
          <w:lang w:val="en-US" w:eastAsia="zh-CN"/>
        </w:rPr>
        <w:t>各院校要高度重视试点工作，</w:t>
      </w:r>
      <w:r>
        <w:rPr>
          <w:rFonts w:hint="default" w:ascii="仿宋_GB2312" w:hAnsi="仿宋_GB2312" w:eastAsia="仿宋_GB2312" w:cs="仿宋_GB2312"/>
          <w:color w:val="auto"/>
          <w:sz w:val="32"/>
          <w:szCs w:val="32"/>
          <w:lang w:val="en-US" w:eastAsia="zh-CN"/>
        </w:rPr>
        <w:t>进一步提高认识、深化理解，</w:t>
      </w:r>
      <w:r>
        <w:rPr>
          <w:rFonts w:hint="eastAsia" w:ascii="仿宋_GB2312" w:hAnsi="仿宋_GB2312" w:eastAsia="仿宋_GB2312" w:cs="仿宋_GB2312"/>
          <w:color w:val="auto"/>
          <w:sz w:val="32"/>
          <w:szCs w:val="32"/>
          <w:lang w:val="en-US" w:eastAsia="zh-CN"/>
        </w:rPr>
        <w:t>鼓励前期试点计划完成度高的专业适当扩大试点规模</w:t>
      </w:r>
      <w:r>
        <w:rPr>
          <w:rFonts w:hint="default" w:ascii="仿宋_GB2312" w:hAnsi="仿宋_GB2312" w:eastAsia="仿宋_GB2312" w:cs="仿宋_GB2312"/>
          <w:color w:val="auto"/>
          <w:sz w:val="32"/>
          <w:szCs w:val="32"/>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各院校要及时关注“管理平台”上陆续发布的第四批培训评价组织证书试点工作线上说明会信息，组织相关专业教师深入学习证书内涵，在准确了解相关证书信息基础上，立足自身办学特色，客观评估现有资源，科学确定拟参与试点的职业技能等级证书，合理务实提出试点规模；对照实施培训的条件要求，结合实际制订本校试点工作方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olor w:val="auto"/>
          <w:sz w:val="32"/>
          <w:szCs w:val="32"/>
        </w:rPr>
        <w:t>各设区市教育局</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平潭综合实验区</w:t>
      </w:r>
      <w:r>
        <w:rPr>
          <w:rFonts w:hint="eastAsia" w:ascii="仿宋_GB2312" w:hAnsi="仿宋_GB2312" w:eastAsia="仿宋_GB2312"/>
          <w:color w:val="auto"/>
          <w:sz w:val="32"/>
          <w:szCs w:val="32"/>
          <w:lang w:eastAsia="zh-CN"/>
        </w:rPr>
        <w:t>社会事业局</w:t>
      </w:r>
      <w:r>
        <w:rPr>
          <w:rFonts w:hint="eastAsia" w:ascii="仿宋_GB2312" w:hAnsi="仿宋_GB2312" w:eastAsia="仿宋_GB2312" w:cs="仿宋_GB2312"/>
          <w:color w:val="auto"/>
          <w:sz w:val="32"/>
          <w:szCs w:val="32"/>
          <w:lang w:val="en-US" w:eastAsia="zh-CN"/>
        </w:rPr>
        <w:t>应及时将本通知转发至所属中职学校。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left"/>
        <w:textAlignment w:val="auto"/>
        <w:outlineLvl w:val="9"/>
        <w:rPr>
          <w:rFonts w:hint="eastAsia" w:ascii="黑体" w:hAnsi="黑体" w:eastAsia="黑体" w:cs="黑体"/>
          <w:color w:val="auto"/>
          <w:kern w:val="0"/>
          <w:sz w:val="32"/>
          <w:szCs w:val="32"/>
          <w:lang w:val="en-US" w:eastAsia="zh-CN" w:bidi="zh-CN"/>
        </w:rPr>
      </w:pPr>
      <w:r>
        <w:rPr>
          <w:rFonts w:hint="eastAsia" w:ascii="黑体" w:hAnsi="黑体" w:eastAsia="黑体" w:cs="黑体"/>
          <w:color w:val="auto"/>
          <w:kern w:val="0"/>
          <w:sz w:val="32"/>
          <w:szCs w:val="32"/>
          <w:lang w:val="en-US" w:eastAsia="zh-CN" w:bidi="zh-CN"/>
        </w:rPr>
        <w:t>五、其他事项</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（一）各试点院校2020年获批试点中未完成考核的人数，将顺延至2021年试点计划中，请未完成上年度试点计划的院校，积极推进学生培训、考核等有关工作，高质量完成试点任务。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b w:val="0"/>
          <w:color w:val="auto"/>
          <w:kern w:val="0"/>
          <w:sz w:val="32"/>
          <w:szCs w:val="32"/>
          <w:shd w:val="clear"/>
          <w:lang w:val="en-US" w:eastAsia="zh-CN" w:bidi="ar"/>
        </w:rPr>
      </w:pPr>
      <w:r>
        <w:rPr>
          <w:rFonts w:hint="eastAsia" w:ascii="仿宋_GB2312" w:hAnsi="仿宋_GB2312" w:eastAsia="仿宋_GB2312" w:cs="仿宋_GB2312"/>
          <w:color w:val="auto"/>
          <w:sz w:val="32"/>
          <w:szCs w:val="32"/>
          <w:lang w:val="en-US" w:eastAsia="zh-CN"/>
        </w:rPr>
        <w:t>（二）为建立健全畅通交流机制，请各设区市教育局、</w:t>
      </w:r>
      <w:r>
        <w:rPr>
          <w:rFonts w:hint="eastAsia" w:ascii="仿宋_GB2312" w:hAnsi="仿宋_GB2312" w:eastAsia="仿宋_GB2312" w:cs="仿宋_GB2312"/>
          <w:b w:val="0"/>
          <w:color w:val="auto"/>
          <w:kern w:val="0"/>
          <w:sz w:val="32"/>
          <w:szCs w:val="32"/>
          <w:shd w:val="clear" w:fill="auto"/>
          <w:lang w:val="en-US" w:eastAsia="zh-CN" w:bidi="ar"/>
        </w:rPr>
        <w:t>平潭综合实验区社会事业局、各试点院校试点工作负责人加入福建省1+X试点院校工作联系群（QQ群号：575508369）</w:t>
      </w:r>
      <w:r>
        <w:rPr>
          <w:rFonts w:hint="eastAsia" w:ascii="仿宋_GB2312" w:hAnsi="仿宋_GB2312" w:eastAsia="仿宋_GB2312" w:cs="仿宋_GB2312"/>
          <w:color w:val="auto"/>
          <w:sz w:val="32"/>
          <w:szCs w:val="32"/>
          <w:lang w:val="en-US" w:eastAsia="zh-CN"/>
        </w:rPr>
        <w:t>。职业技能等级证书平台-试点院校业务平台操作手册V1.8等资料可通过工作QQ群下载。省教育厅职成处联系人：陈琳，联系电话：0591-87091322。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附件：第四批1+X证书制度试点职业技能等级证书名单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overflowPunct/>
        <w:topLinePunct w:val="0"/>
        <w:autoSpaceDE w:val="0"/>
        <w:autoSpaceDN w:val="0"/>
        <w:bidi w:val="0"/>
        <w:adjustRightInd/>
        <w:snapToGrid/>
        <w:spacing w:after="0" w:line="600" w:lineRule="exact"/>
        <w:ind w:left="0" w:leftChars="0" w:right="0" w:rightChars="0"/>
        <w:jc w:val="center"/>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    </w:t>
      </w:r>
    </w:p>
    <w:p>
      <w:pPr>
        <w:keepNext w:val="0"/>
        <w:keepLines w:val="0"/>
        <w:pageBreakBefore w:val="0"/>
        <w:kinsoku/>
        <w:overflowPunct/>
        <w:topLinePunct w:val="0"/>
        <w:autoSpaceDE w:val="0"/>
        <w:autoSpaceDN w:val="0"/>
        <w:bidi w:val="0"/>
        <w:adjustRightInd/>
        <w:snapToGrid/>
        <w:spacing w:after="0" w:line="600" w:lineRule="exact"/>
        <w:ind w:left="0" w:leftChars="0" w:right="0" w:rightChars="0"/>
        <w:jc w:val="center"/>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kern w:val="0"/>
          <w:sz w:val="32"/>
          <w:szCs w:val="32"/>
          <w:lang w:val="en-US" w:eastAsia="zh-CN" w:bidi="ar"/>
        </w:rPr>
        <w:t xml:space="preserve">   </w:t>
      </w:r>
    </w:p>
    <w:p>
      <w:pPr>
        <w:keepNext w:val="0"/>
        <w:keepLines w:val="0"/>
        <w:pageBreakBefore w:val="0"/>
        <w:kinsoku/>
        <w:overflowPunct/>
        <w:topLinePunct w:val="0"/>
        <w:autoSpaceDE w:val="0"/>
        <w:autoSpaceDN w:val="0"/>
        <w:bidi w:val="0"/>
        <w:adjustRightInd/>
        <w:snapToGrid/>
        <w:spacing w:after="0" w:line="600" w:lineRule="exact"/>
        <w:ind w:left="0" w:leftChars="0" w:right="0" w:rightChars="0"/>
        <w:jc w:val="center"/>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福建省教育厅办公室  </w:t>
      </w:r>
    </w:p>
    <w:p>
      <w:pPr>
        <w:keepNext w:val="0"/>
        <w:keepLines w:val="0"/>
        <w:pageBreakBefore w:val="0"/>
        <w:kinsoku/>
        <w:wordWrap w:val="0"/>
        <w:overflowPunct/>
        <w:topLinePunct w:val="0"/>
        <w:autoSpaceDE w:val="0"/>
        <w:autoSpaceDN w:val="0"/>
        <w:bidi w:val="0"/>
        <w:adjustRightInd/>
        <w:snapToGrid/>
        <w:spacing w:after="0" w:line="600" w:lineRule="exact"/>
        <w:ind w:left="0" w:leftChars="0" w:right="0" w:rightChars="0"/>
        <w:jc w:val="center"/>
        <w:textAlignment w:val="auto"/>
        <w:outlineLvl w:val="9"/>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kern w:val="0"/>
          <w:sz w:val="32"/>
          <w:szCs w:val="32"/>
          <w:lang w:val="en-US" w:eastAsia="zh-CN" w:bidi="ar"/>
        </w:rPr>
        <w:t xml:space="preserve">       </w:t>
      </w:r>
      <w:bookmarkStart w:id="1" w:name="_GoBack"/>
      <w:bookmarkEnd w:id="1"/>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sz w:val="32"/>
          <w:szCs w:val="32"/>
          <w:shd w:val="clear" w:color="auto" w:fill="auto"/>
          <w:lang w:val="en-US" w:eastAsia="zh-CN"/>
        </w:rPr>
        <w:t>2020年5月13日</w:t>
      </w:r>
    </w:p>
    <w:p>
      <w:pPr>
        <w:pStyle w:val="2"/>
        <w:rPr>
          <w:rFonts w:hint="eastAsia" w:ascii="仿宋_GB2312" w:hAnsi="仿宋_GB2312" w:eastAsia="仿宋_GB2312" w:cs="仿宋_GB2312"/>
          <w:color w:val="auto"/>
          <w:sz w:val="32"/>
          <w:szCs w:val="32"/>
          <w:shd w:val="clear" w:color="auto" w:fill="auto"/>
          <w:lang w:val="en-US" w:eastAsia="zh-CN"/>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shd w:val="clear" w:color="auto" w:fill="auto"/>
          <w:lang w:val="en-US" w:eastAsia="zh-CN"/>
        </w:rPr>
        <w:sectPr>
          <w:footerReference r:id="rId3" w:type="default"/>
          <w:pgSz w:w="11906" w:h="16838"/>
          <w:pgMar w:top="1928" w:right="1587" w:bottom="1701" w:left="1587" w:header="851" w:footer="992" w:gutter="0"/>
          <w:pgNumType w:fmt="numberInDash"/>
          <w:cols w:space="0" w:num="1"/>
          <w:rtlGutter w:val="0"/>
          <w:docGrid w:type="lines" w:linePitch="314" w:charSpace="0"/>
        </w:sectPr>
      </w:pPr>
      <w:r>
        <w:rPr>
          <w:rFonts w:hint="eastAsia" w:ascii="仿宋_GB2312" w:hAnsi="仿宋_GB2312" w:eastAsia="仿宋_GB2312" w:cs="仿宋_GB2312"/>
          <w:color w:val="auto"/>
          <w:sz w:val="32"/>
          <w:szCs w:val="32"/>
          <w:shd w:val="clear" w:color="auto" w:fill="auto"/>
          <w:lang w:val="en-US" w:eastAsia="zh-CN"/>
        </w:rPr>
        <w:t>（此件主动公开）</w:t>
      </w:r>
    </w:p>
    <w:p>
      <w:pPr>
        <w:keepNext w:val="0"/>
        <w:keepLines w:val="0"/>
        <w:pageBreakBefore w:val="0"/>
        <w:kinsoku/>
        <w:overflowPunct/>
        <w:topLinePunct w:val="0"/>
        <w:bidi w:val="0"/>
        <w:adjustRightInd/>
        <w:snapToGrid/>
        <w:spacing w:after="156" w:afterLines="50" w:line="600" w:lineRule="exact"/>
        <w:ind w:left="0" w:leftChars="0" w:right="0" w:rightChars="0"/>
        <w:rPr>
          <w:rFonts w:ascii="黑体" w:hAnsi="黑体" w:eastAsia="黑体"/>
          <w:sz w:val="32"/>
          <w:szCs w:val="32"/>
        </w:rPr>
      </w:pPr>
      <w:r>
        <w:rPr>
          <w:rFonts w:hint="eastAsia" w:ascii="黑体" w:hAnsi="黑体" w:eastAsia="黑体"/>
          <w:sz w:val="32"/>
          <w:szCs w:val="32"/>
        </w:rPr>
        <w:t>附件：</w:t>
      </w:r>
    </w:p>
    <w:p>
      <w:pPr>
        <w:keepNext w:val="0"/>
        <w:keepLines w:val="0"/>
        <w:pageBreakBefore w:val="0"/>
        <w:kinsoku/>
        <w:overflowPunct/>
        <w:topLinePunct w:val="0"/>
        <w:bidi w:val="0"/>
        <w:adjustRightInd/>
        <w:snapToGrid/>
        <w:spacing w:after="156" w:afterLines="50" w:line="600" w:lineRule="exact"/>
        <w:ind w:left="0" w:leftChars="0" w:right="0" w:right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auto"/>
          <w:sz w:val="36"/>
          <w:szCs w:val="36"/>
          <w:lang w:val="en-US" w:eastAsia="zh-CN"/>
        </w:rPr>
        <w:t>第四批1+X证书制度试点职业技能等级证书名单</w:t>
      </w:r>
    </w:p>
    <w:tbl>
      <w:tblPr>
        <w:tblStyle w:val="9"/>
        <w:tblW w:w="9213" w:type="dxa"/>
        <w:jc w:val="center"/>
        <w:tblInd w:w="0" w:type="dxa"/>
        <w:tblLayout w:type="fixed"/>
        <w:tblCellMar>
          <w:top w:w="0" w:type="dxa"/>
          <w:left w:w="0" w:type="dxa"/>
          <w:bottom w:w="0" w:type="dxa"/>
          <w:right w:w="0" w:type="dxa"/>
        </w:tblCellMar>
      </w:tblPr>
      <w:tblGrid>
        <w:gridCol w:w="564"/>
        <w:gridCol w:w="4118"/>
        <w:gridCol w:w="4531"/>
      </w:tblGrid>
      <w:tr>
        <w:tblPrEx>
          <w:tblLayout w:type="fixed"/>
          <w:tblCellMar>
            <w:top w:w="0" w:type="dxa"/>
            <w:left w:w="0" w:type="dxa"/>
            <w:bottom w:w="0" w:type="dxa"/>
            <w:right w:w="0" w:type="dxa"/>
          </w:tblCellMar>
        </w:tblPrEx>
        <w:trPr>
          <w:trHeight w:val="630" w:hRule="atLeast"/>
          <w:tblHeader/>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overflowPunct/>
              <w:topLinePunct w:val="0"/>
              <w:bidi w:val="0"/>
              <w:adjustRightInd/>
              <w:snapToGrid/>
              <w:spacing w:line="600" w:lineRule="exact"/>
              <w:ind w:left="0" w:leftChars="0" w:right="0" w:rightChar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序号</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overflowPunct/>
              <w:topLinePunct w:val="0"/>
              <w:bidi w:val="0"/>
              <w:adjustRightInd/>
              <w:snapToGrid/>
              <w:spacing w:line="600" w:lineRule="exact"/>
              <w:ind w:left="0" w:leftChars="0" w:right="0" w:rightChars="0"/>
              <w:jc w:val="center"/>
              <w:textAlignment w:val="center"/>
              <w:rPr>
                <w:rFonts w:hint="eastAsia" w:ascii="仿宋_GB2312" w:hAnsi="宋体" w:eastAsia="仿宋_GB2312" w:cs="仿宋_GB2312"/>
                <w:b/>
                <w:color w:val="000000"/>
                <w:kern w:val="0"/>
                <w:sz w:val="24"/>
              </w:rPr>
            </w:pPr>
            <w:r>
              <w:rPr>
                <w:rFonts w:hint="eastAsia" w:ascii="仿宋_GB2312" w:hAnsi="宋体" w:eastAsia="仿宋_GB2312" w:cs="仿宋_GB2312"/>
                <w:b/>
                <w:color w:val="000000"/>
                <w:kern w:val="0"/>
                <w:sz w:val="24"/>
              </w:rPr>
              <w:t>证书名称</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overflowPunct/>
              <w:topLinePunct w:val="0"/>
              <w:bidi w:val="0"/>
              <w:adjustRightInd/>
              <w:snapToGrid/>
              <w:spacing w:line="600" w:lineRule="exact"/>
              <w:ind w:left="0" w:leftChars="0" w:right="0" w:rightChars="0"/>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rPr>
              <w:t>培训评价组织名称</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家庭农场畜禽养殖</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北大荒农垦集团有限公司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家庭农场粮食生产经营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北大荒农垦集团有限公司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农业经济组织经营管理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北大荒农垦集团有限公司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设施蔬菜生产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山东省寿光蔬菜产业集团有限公司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农产品供应链与品牌管理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北京中农服农业科技股份有限公司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化工精馏安全控制</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北京化育求贤教育科技有限公司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化工危险与可操作性（HAZOP）分析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北京化育求贤教育科技有限公司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测绘地理信息数据获取与处理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广州南方测绘科技股份有限公司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测绘地理信息智能应用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广州南方测绘科技股份有限公司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不动产数据采集与建库</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福建金创利信息科技发展股份有限公司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煤矿智能化开采</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北京市中煤教育科贸公司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矿山应急救援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北京市中煤教育科贸公司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煤炭清洁高效利用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北京市中煤教育科贸公司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电力电缆安装运维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输电线路施工及运维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继电保护检修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变配电运维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配电线路运维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装表接电</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变电一次安装</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变电二次安装</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电力系统营销服务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国家电网有限公司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用户侧微电网工程应用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广东南方电力科学研究院有限公司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发电集控运维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博努力（北京）仿真技术有限公司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新能源充电设施安装与维护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苏宁帮客科技服务有限公司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贵金属首饰执模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深圳百泰投资控股集团有限公司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贵金属首饰制作与检验</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北京诺斐释真管理咨询有限公司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鞋类设计与制作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中国轻工业联合会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服装陈列设计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北京锦达科教开发总公司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纺织面料开发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北京锦达科教开发总公司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智能水厂运行与调控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北控水务（中国）投资有限公司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水环境监测与治理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北控水务（中国）投资有限公司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土木工程混凝土材料检测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中国水利水电第八工程局有限公司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大坝安全智能监测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黄河万家寨水利枢纽有限公司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地表水（河湖库湾）水质监测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中电建生态环境集团有限公司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城市轨道交通变电检修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广州城市轨道交通培训学院股份有限公司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城市轨道交通信号检修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广州城市轨道交通培训学院股份有限公司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轨道交通车辆检修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神州高铁技术股份有限公司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城市轨道交通接触网维护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南京地铁集团有限公司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城市轨道交通通信设备维护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南京地铁集团有限公司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城市轨道交通线路维护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南京地铁集团有限公司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轨道交通车辆机械维护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北京智联友道科技有限公司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城市轨道交通车辆维护和保养</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郑州捷安高科股份有限公司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轨道交通自动控制系统装备运营维护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1"/>
                <w:szCs w:val="21"/>
              </w:rPr>
            </w:pPr>
            <w:r>
              <w:rPr>
                <w:rFonts w:hint="eastAsia" w:ascii="仿宋_GB2312" w:hAnsi="宋体" w:eastAsia="仿宋_GB2312" w:cs="仿宋_GB2312"/>
                <w:color w:val="000000"/>
                <w:kern w:val="0"/>
                <w:sz w:val="21"/>
                <w:szCs w:val="21"/>
              </w:rPr>
              <w:t>北京全路通信信号研究设计院集团有限公司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道路机电设备装调与运维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湖南省交通科学研究院有限公司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1"/>
                <w:szCs w:val="21"/>
              </w:rPr>
              <w:t>列车运行控制系统车载设备运用与维护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北京和利时系统工程有限公司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1"/>
                <w:szCs w:val="21"/>
              </w:rPr>
              <w:t>列车运行控制系统现场信号设备运用与维护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北京和利时系统工程有限公司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多式联运组织与管理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北京中铁科客货运输技术有限公司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49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旅客登机桥维修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北京博维航空设施管理有限公司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民航安全检查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北京首都机场航空安保有限公司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民用航空器航线维修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江苏无国界航空发展有限公司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民航空中服务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北京翔宇教育咨询有限公司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民用机场航班地面保障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北京空港航空地面服务有限公司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机场运行管理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1"/>
                <w:szCs w:val="21"/>
              </w:rPr>
              <w:t>中汇空港（北京）教育科技发展有限责任公司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港口理货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中国理货协会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国六柴油车养护诊断</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广西汽车集团有限公司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车身智能焊接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北京祥龙博瑞汽车服务（集团）有限公司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网约车运营管理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北京运华科技发展有限公司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59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智能汽车大数据管理与应用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中汽数据有限公司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电动汽车高电压系统评测与维修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北京新能源汽车股份有限公司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智能网联汽车共享出行服务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1"/>
                <w:szCs w:val="21"/>
              </w:rPr>
              <w:t>国汽（北京）智能网联汽车研究院有限公司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新能源汽车装调与测试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北京卓创至诚技术有限公司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在线学习服务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北京国人通教育科技有限公司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青少年劳动教育项目开发与实施</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北京安达思创管理顾问有限公司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器乐艺术指导</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新华国采教育网络科技有限责任公司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生涯规划指导</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东北师大理想软件股份有限公司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职场拓展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杭州快搜才网络科技有限公司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酒店收益管理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北京三快在线科技有限公司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69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旅游大数据分析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上海棕榈电脑系统有限公司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定制旅行管家服务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携程旅游网络技术（上海）有限公司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旅行策划</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中国旅游协会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酒店运营管理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中国饭店协会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现代酒店服务质量管理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华住酒店管理有限公司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研学旅行课程设计与实施</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北京中凯国际研学旅行股份有限公司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前厅运营管理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北京首都旅游集团有限责任公司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餐饮服务管理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北京首都旅游集团有限责任公司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葡萄酒推介与侍酒服务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新疆芳葡香思教育咨询有限公司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餐饮管理运行</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中国饭店协会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79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会展管理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网育网（北京）国际教育科技发展中心</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粤菜制作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广东省餐饮技师协会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粤点制作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广东省餐饮技师协会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电子竞技赛事运营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完美世界教育科技（北京）有限公司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实用英语交际</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北京外研在线数字科技有限公司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中文速录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北京速录科技有限公司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珠宝首饰设计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中宝评（北京）教育科技有限公司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电脑首饰设计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武汉学苑珠宝科技有限公司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人物化妆造型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北京色彩时代商贸有限公司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档案数字化加工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四川蓝宇档案管理服务有限公司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89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婚礼策划</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北京中民福祉教育科技有限责任公司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社区治理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北京中民福祉教育科技有限责任公司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遗体防腐整容</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北京中民福祉教育科技有限责任公司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舆情监测与分析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北京人民在线网络有限公司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新居住数字化经纪服务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贝壳找房（北京）科技有限公司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殡仪服务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北京中民福祉教育科技有限责任公司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人力资源共享服务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上海踏瑞计算机软件有限公司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智慧后勤运营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北京乐智启航文化发展有限公司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人力资源数字化管理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启端（北京）教育科技有限公司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标准编审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北京中标赛宇科技有限公司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99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社会心理服务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北京中文在线教育科技发展有限公司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老年护理服务需求评估</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中国光大实业（集团）有限责任公司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家庭保健按摩</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济南阳光大姐服务有限责任公司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产后恢复</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湖南金职伟业母婴护理有限公司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老年康体指导</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北京中民福祉教育科技有限责任公司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医养个案管理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泰康珞珈（北京）科学技术研究院有限公司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皮肤护理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哈尔滨华辰生物科技有限公司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体重管理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中国医药教育协会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老年慢病膳食调理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中国健康养老集团有限公司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芳香疗法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北京易芳堂科技发展有限公司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109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中医体质评估与应用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九龙堂（北京）国际医学保健研究院</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美容光电仪器操作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惠州雅姬乐化妆品有限公司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食品检验管理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中检科教育科技（北京）有限公司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药物制剂生产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江苏恒瑞医药股份有限公司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可食食品快速检验</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广州汇标检测技术中心</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食品合规管理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烟台富美特信息科技股份有限公司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药品购销</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上海医药（集团）有限公司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工程造价数字化应用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广联达科技股份有限公司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建设工程质量检测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中国建筑科学研究院有限公司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建筑工程施工工艺实施与管理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中铁二十局集团有限公司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119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全断面隧道掘进机操作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盾构及掘进技术国家重点实验室</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制冷空调系统安装与维修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青岛好品海智信息技术有限公司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建筑装饰装修数字化设计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壹仟零壹艺网络科技（北京）有限公司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室内设计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中国室内装饰协会</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智能建造设计与集成应用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北京智能装配式建筑研究院有限公司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装配式混凝土预制构件质量检验</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三一重工股份有限公司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路桥工程无损检测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四川升拓检测技术股份有限公司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智能仓储装备应用及维护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北京京东乾石科技有限公司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化工设备检维修作业</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秦皇岛博赫科技开发有限公司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机械产品三维模型设计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广州中望龙腾软件股份有限公司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129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产品创意设计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北京洛凯特文化传播有限公司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机械数字化设计与制造</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北京机械工业自动化研究所有限公司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机械工程制图</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北京卓创至诚技术有限公司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注塑模具模流分析及工艺调试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海尔智家股份有限公司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增材制造模型设计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北京赛育达科教有限责任公司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拉延模具数字化设计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武汉益模科技股份有限公司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增材制造设备操作与维护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西安增材制造国家研究院有限公司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工程机械数字化管理和运维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江苏徐工信息技术股份有限公司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精密数控加工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北京精雕科技集团有限公司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多工序数控机床操作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北方至信人力资源评价（北京）有限公司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139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数控机床安装与调试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通用技术集团大连机床有限责任公司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燃油汽车总装与调试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上海汽车集团股份有限公司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车辆自动驾驶系统应用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上海淞泓智能汽车科技有限公司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汽车智能制造系统集成应用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上海景格科技股份有限公司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飞机机械系统装配</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上海飞机制造有限公司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飞机铆接装配</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中国航空工业集团有限公司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航空发动机修理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国营川西机器厂</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航空柔性加工生产线管控与操作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中航国际航空发展有限公司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特种机器人操作与运维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徐州鑫科机器人有限公司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智能协作机器人技术及应用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遨博（北京）智能科技有限公司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149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服务机器人应用开发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深圳市优必选科技股份有限公司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焊接机器人编程与维护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宁波摩科机器人科技有限公司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工业机器人产品质量安全检测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中国科学院沈阳自动化研究所</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服务机器人实施与运维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深圳市优必选科技股份有限公司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商务流程自动化机器人应用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成都康德世纪教育科技集团有限公司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无人机摄影测量</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天水三和数码测绘院有限公司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无人机操作应用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深圳市大疆创新科技有限公司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无人机检测与维护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北京优云智翔航空科技有限公司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无人机组装与调试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中国航空工业集团有限公司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植保无人飞机应用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北京韦加智能科技股份有限公司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159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无人机航空喷洒</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北京翔宇教育咨询有限公司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物流无人机操作与运维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北京京东乾石科技有限公司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无人机拍摄</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中大国飞（北京）航空科技有限公司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智能网联电梯维护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杭州市特种设备检测研究院</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电梯维修保养</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杭州西奥电梯有限公司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机器视觉系统应用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深圳市越疆科技有限公司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工业视觉系统运维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苏州富纳艾尔科技有限公司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可编程控制器系统应用编程</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无锡信捷电气股份有限公司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可编程控制系统集成及应用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浙江瑞亚能源科技有限公司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生产线数字化仿真应用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山东莱茵科斯特智能科技有限公司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169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数字化工厂产线装调与运维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珠海格力智能装备有限公司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智能配电集成与运维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北京中科航天人才服务有限公司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制造执行系统实施与应用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北京新奥时代科技有限责任公司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智能运动控制系统集成与应用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江苏哈工海渡教育科技集团有限公司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工业数据采集与边缘服务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北京新大陆时代教育科技有限公司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智能制造单元维护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武汉华中数控股份有限公司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智能制造单元集成应用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武汉华中数控股份有限公司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智能制造生产线集成应用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沈机（上海）智能系统研发设计有限公司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智能制造生产管理与控制</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江苏汇博机器人技术股份有限公司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智能制造系统集成应用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济南二机床集团有限公司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179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智能制造设备操作与维护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沈阳新松机器人自动化股份有限公司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智能制造现场数据采集与应用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联想（北京）有限公司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智能线集成与应用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北京赛育达科教有限责任公司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智能产线控制与运维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中船舰客教育科技（北京）有限公司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智能线运行与维护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北京赛育达科教有限责任公司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智能制造设备安装与调试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上海电气自动化设计研究所有限公司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185</w:t>
            </w:r>
          </w:p>
        </w:tc>
        <w:tc>
          <w:tcPr>
            <w:tcW w:w="4118" w:type="dxa"/>
            <w:tcBorders>
              <w:top w:val="single" w:color="000000" w:sz="4" w:space="0"/>
              <w:left w:val="single" w:color="000000" w:sz="4" w:space="0"/>
              <w:bottom w:val="single" w:color="000000" w:sz="4" w:space="0"/>
              <w:right w:val="single" w:color="000000" w:sz="4" w:space="0"/>
            </w:tcBorders>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企业财务与会计机器人应用</w:t>
            </w:r>
          </w:p>
        </w:tc>
        <w:tc>
          <w:tcPr>
            <w:tcW w:w="4531" w:type="dxa"/>
            <w:tcBorders>
              <w:top w:val="single" w:color="000000" w:sz="4" w:space="0"/>
              <w:left w:val="single" w:color="000000" w:sz="4" w:space="0"/>
              <w:bottom w:val="single" w:color="000000" w:sz="4" w:space="0"/>
              <w:right w:val="single" w:color="000000" w:sz="4" w:space="0"/>
            </w:tcBorders>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厦门科云信息科技有限公司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政府财务与会计机器人应用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北京东大正保科技有限公司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智能审计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中联集团教育科技有限公司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审计信息化应用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中天运会计师事务所</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189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家庭理财规划</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平安国际智慧城市科技股份有限公司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薪酬管理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上海财才网信息科技有限公司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交通事故查勘估损与理赔</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中保慧杰教育咨询（北京）有限公司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机动车鉴定评估与回收</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物产中大集团股份有限公司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金融产品数字化营销</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清控紫荆（北京）教育科技股份有限公司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金融数据建模应用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中关村互联网金融研究院</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金融智能投顾</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金智东博（北京）教育科技股份有限公司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供应链智能融资技术应用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中企云链（北京）金融信息服务有限公司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黄金投资分析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北京市黄金科技工程咨询公司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企业信用管理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中经网数据有限公司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199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业财税融合成本管控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湖南中德安普大数据网络科技有限公司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业财税融合大数据投融资分析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湖南中德安普大数据网络科技有限公司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企业纳税精细化管理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北京中税网控股股份有限公司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个税计算</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浙江衡信教育科技有限公司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企业管理咨询</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北京东大正保科技有限公司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品类管理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北京睿学云诚教育咨询有限公司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连锁特许经营管理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深圳市逸马科技有限公司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连锁企业门店运营管理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江苏京东信息技术有限公司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门店数字化运营与管理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中联职教（北京）科技有限公司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企业境外经营合规管理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国家发展和改革委员会国际合作中心</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209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社交电商运营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中联集团教育科技有限公司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跨境电子商务多平台运营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厦门优优汇联信息科技有限公司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农产品电商运营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北京博导前程信息技术股份有限公司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移动互联网运营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联创新世纪（北京）品牌管理股份有限公司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跨境电商海外营销</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北京中清研信息技术研究院有限公司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汽车电商服务平台运营与管理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北京运华科技发展有限公司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跨境电商B2C数据运营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阿里巴巴（中国）网络技术有限公司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电子商务客户服务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江苏京东信息技术有限公司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直播电商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南京奥派信息产业股份公司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广告审查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中广协广告信息文化传播有限责任公司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219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新媒体营销</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联创新世纪（北京）品牌管理股份有限公司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数字营销技术应用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中教畅享（北京）科技有限公司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数据营销</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百度在线网络技术（北京）有限公司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供应链数据分析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物产中大集团股份有限公司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供应链运营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北京中物联物流采购培训中心</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智慧物流装备应用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中科智库物联网技术研究院江苏有限公司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智能物流仓储运维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北京起重运输机械设计研究院有限公司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网络直播编导</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北京第一时间网络科技有限公司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网络直播技术</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北京中广上洋科技股份有限公司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网络直播运营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中广协广告信息文化传播有限责任公司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229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媒体融合运营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北京人民在线网络有限公司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新媒体技术</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南京奥派信息产业股份公司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融媒体内容制作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北京乐享云创科技有限公司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新媒体运营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新华网股份有限公司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自媒体运营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北京字节跳动科技有限公司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互动媒体应用开发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浙江中科视传科技有限公司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新媒体编辑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凤凰卫视有限公司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移动流媒体技术</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凤凰新联合（北京）教育科技有限公司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互联网内容风控</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北京人民在线网络有限公司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动画制作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中国动漫集团有限公司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239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数字艺术创作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中国动漫集团有限公司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文创产品数字化设计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浙江中科视传科技有限公司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数字影视特效制作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杭州时光坐标影视传媒股份有限公司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数字影像处理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中摄协国际文化传媒（北京）有限公司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短视频数字化运营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杭州遥望网络科技有限公司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网络安全应急响应</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奇安信科技集团股份有限公司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网络安全服务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北京神州绿盟科技有限公司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云安全运营服务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奇安信科技集团股份有限公司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Web安全测试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北京神州数码云科信息技术有限公司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网络安全风险管理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启明星辰信息技术集团股份有限公司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249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安全防范系统建设与运维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上海海盾安全技术培训中心</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网络安全渗透测试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北京天融信网络安全技术有限公司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云数据中心安全建设与运维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深信服科技股份有限公司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网络安全运营平台管理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深信服科技股份有限公司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区块链智能合约开发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北京中链智培科技有限公司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区块链系统应用与设计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北京百度网讯科技有限公司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区块链系统集成与应用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中科智库物联网技术研究院江苏有限公司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区块链应用软件开发与运维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腾讯云计算（北京）有限责任公司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区块链操作技术</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赛迪（青岛）区块链研究院有限公司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区块链数据治理与维护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西安纸贵互联网科技有限公司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259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电能交易区块链应用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广东南方电力科学研究院有限公司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数据中心运维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同方计算机有限公司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云数据中心建设与运维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深信服科技股份有限公司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数据中心IT系统运维管理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国富瑞数据系统有限公司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数据中心动力系统建设</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中邮建技术有限公司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数据资产管理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北京久其软件股份有限公司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数据库管理系统</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武汉达梦数据库有限公司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数据标注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哈工大大数据集团有限公司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大数据应用开发（Python）</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广东泰迪智能科技股份有限公司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Python程序开发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中慧云启科技集团有限公司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269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数据应用开发与服务（Python）</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北京中软国际信息技术有限公司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物联网智能终端开发与设计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广州粤嵌通信科技股份有限公司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物联网单片机应用与开发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国信蓝桥教育科技（北京）股份有限公司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智联网（AIoT）应用开发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北京金山云网络技术有限公司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物联网安全测评</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工业和信息化部电子第五研究所</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物联网场景设计与开发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海尔智家股份有限公司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物联网工程实施与运维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北京新大陆时代教育科技有限公司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电梯物联网系统应用开发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北京中兴协力科技有限公司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物联网安装调试与运维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中盈创信（北京）科技有限公司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物联网云平台运用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中移物联网有限公司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279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大数据工程化处理与应用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北京新奥时代科技有限责任公司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大数据治理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成都云上天府大数据研究院有限公司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大数据平台管理与开发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星环信息科技（上海）有限公司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大数据应用部署与调优</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南京云创大数据科技股份有限公司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工业大数据应用与开发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沈阳新松机器人自动化股份有限公司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金融大数据处理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深圳希施玛数据科技有限公司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智能仓储大数据分析</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北京京东乾石科技有限公司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集成电路设计与验证</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杭州朗迅科技有限公司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集成电路封装与测试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杭州朗迅科技有限公司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集成电路检测技术应用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新华三技术有限公司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289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集成电路版图设计</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北京华大九天软件有限公司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嵌入式边缘计算软硬件开发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龙芯中科技术有限公司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电子装联</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快克智能装备股份有限公司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LED显示屏应用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西安诺瓦星云科技股份有限公司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工业数字孪生建模与应用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树根互联技术有限公司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数字孪生城市建模与应用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北京智能装配式建筑研究院有限公司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云计算应用开发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腾讯云计算（北京）有限责任公司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微信小程序开发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腾讯云计算（北京）有限责任公司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安卓应用开发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腾讯科技（深圳）有限公司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Web全栈开发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腾讯科技（深圳）有限公司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299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WPS办公应用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北京金山办公软件股份有限公司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JAVA应用开发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北京中软国际信息技术有限公司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JavaWeb应用开发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天津东软睿道教育信息技术有限公司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Web应用软件测试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北京四合天地科技有限公司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自然语言处理应用开发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北京京东世纪信息技术有限公司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互联网软件测试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北京新奥时代科技有限责任公司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移动应用软件测试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北京联合永道软件股份有限公司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虚拟现实应用设计与制作</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福建省网龙普天教育科技有限公司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虚拟现实工程技术应用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中科泰岳（北京）科技有限公司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华为软件技术有限公司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309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工业APP设计与开发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用友网络科技股份有限公司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工业互联网APP应用开发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航天云网科技发展有限责任公司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综合安防系统建设与运维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杭州海康威视数字技术股份有限公司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终端系统运维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同方计算机有限公司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网络系统软件应用与维护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北京神州数码云科信息技术有限公司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商用密码应用与维护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中盈创信（北京）科技有限公司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5G网络优化</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南京中兴信雅达信息科技有限公司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5G承载网络运维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武汉烽火技术服务有限公司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5G移动通信网络部署与运维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华为技术有限公司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5G移动前端技术应用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中科泰岳（北京）科技有限公司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319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下一代互联网（IPv6）搭建与运维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北京神州数码云科信息技术有限公司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无线网络规划与实施</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新华三技术有限公司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移动网络优化</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广东省通信产业服务有限公司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数字化网络管理与应用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中兴通讯股份有限公司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网络设备安装与维护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锐捷网络股份有限公司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全光网线路建设与维护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安徽省通信产业服务有限公司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移动通信无线网络测试与优化</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珠海世纪鼎利科技股份有限公司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物联网通信技术应用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中兴通讯股份有限公司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网络系统规划与部署</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福建中锐网络股份有限公司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移动互联网应用开发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联想（北京）有限公司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329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光宽带网络建设</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北京华晟经世信息技术有限公司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智能网络应用与优化</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新华三技术有限公司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综合布线系统安装与维护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中电新一代（北京）信息技术研究院</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移动通信基站测试</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电信科学技术研究院有限公司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工业互联网网络运维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海尔智家股份有限公司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青岛好品海智信息技术有限公司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工业互联网预测性维护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北京工联科技有限公司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工业互联网设备数据采集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北京工联科技有限公司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工业互联网安全测评与应急</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北京鸿腾智能科技有限公司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工业互联数据交互与应用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辽宁向日葵教育科技有限公司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339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工业互联网标识数据规划应用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北京寓乐世界教育科技有限公司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工业传感器集成应用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中科智库物联网技术研究院江苏有限公司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人工智能语音应用开发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科大讯飞股份有限公司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人工智能深度学习工程应用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北京百度网讯科技有限公司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人工智能数据处理</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科大讯飞股份有限公司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人工智能系统平台实施</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曙光信息产业股份有限公司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人工智能前端设备应用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北京新奥时代科技有限责任公司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346</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智能计算系统实践与应用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中科寒武纪科技股份有限公司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347</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城市大脑平台应用与运维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阿里巴巴（中国）有限公司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348</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人机对话智能系统开发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腾讯云计算（北京）有限责任公司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349</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自动驾驶软件系统应用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北京百度网讯科技有限公司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350</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智慧安防系统实施与运维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浙江宇视科技有限公司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351</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智慧社区集成与运维</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超级智慧家（上海）物联网科技有限公司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352</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智慧家庭建设与维护</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广东省通信产业服务有限公司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353</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智能硬件应用开发</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北京电信规划设计院有限公司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354</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智能终端产品调试与维修</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TCL科技集团股份有限公司</w:t>
            </w:r>
          </w:p>
        </w:tc>
      </w:tr>
      <w:tr>
        <w:tblPrEx>
          <w:tblLayout w:type="fixed"/>
          <w:tblCellMar>
            <w:top w:w="0" w:type="dxa"/>
            <w:left w:w="0" w:type="dxa"/>
            <w:bottom w:w="0" w:type="dxa"/>
            <w:right w:w="0" w:type="dxa"/>
          </w:tblCellMar>
        </w:tblPrEx>
        <w:trPr>
          <w:trHeight w:val="357" w:hRule="exact"/>
          <w:jc w:val="center"/>
        </w:trPr>
        <w:tc>
          <w:tcPr>
            <w:tcW w:w="564"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355</w:t>
            </w:r>
          </w:p>
        </w:tc>
        <w:tc>
          <w:tcPr>
            <w:tcW w:w="4118"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宋体" w:eastAsia="仿宋_GB2312" w:cs="仿宋_GB2312"/>
                <w:color w:val="000000"/>
                <w:kern w:val="0"/>
                <w:sz w:val="24"/>
              </w:rPr>
            </w:pPr>
            <w:r>
              <w:rPr>
                <w:rFonts w:hint="eastAsia" w:ascii="仿宋_GB2312" w:hAnsi="宋体" w:eastAsia="仿宋_GB2312" w:cs="仿宋_GB2312"/>
                <w:color w:val="000000"/>
                <w:kern w:val="0"/>
                <w:sz w:val="24"/>
              </w:rPr>
              <w:t>物联网智慧农业系统集成和应用</w:t>
            </w:r>
          </w:p>
        </w:tc>
        <w:tc>
          <w:tcPr>
            <w:tcW w:w="4531" w:type="dxa"/>
            <w:tcBorders>
              <w:top w:val="single" w:color="000000" w:sz="4" w:space="0"/>
              <w:left w:val="single" w:color="000000" w:sz="4" w:space="0"/>
              <w:bottom w:val="single" w:color="000000" w:sz="4" w:space="0"/>
              <w:right w:val="single" w:color="000000" w:sz="4" w:space="0"/>
            </w:tcBorders>
            <w:shd w:val="clear" w:color="auto" w:fill="FFFFFF"/>
            <w:tcMar>
              <w:top w:w="11" w:type="dxa"/>
              <w:left w:w="11" w:type="dxa"/>
              <w:right w:w="11"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ascii="仿宋_GB2312" w:hAnsi="宋体" w:eastAsia="仿宋_GB2312" w:cs="仿宋_GB2312"/>
                <w:color w:val="000000"/>
                <w:sz w:val="24"/>
              </w:rPr>
            </w:pPr>
            <w:r>
              <w:rPr>
                <w:rFonts w:hint="eastAsia" w:ascii="仿宋_GB2312" w:hAnsi="宋体" w:eastAsia="仿宋_GB2312" w:cs="仿宋_GB2312"/>
                <w:color w:val="000000"/>
                <w:kern w:val="0"/>
                <w:sz w:val="24"/>
              </w:rPr>
              <w:t>中科智库物联网技术研究院江苏有限公司</w:t>
            </w:r>
          </w:p>
        </w:tc>
      </w:tr>
    </w:tbl>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pStyle w:val="2"/>
        <w:rPr>
          <w:rFonts w:hint="eastAsia" w:ascii="仿宋_GB2312" w:hAnsi="仿宋" w:eastAsia="仿宋_GB2312"/>
          <w:sz w:val="32"/>
          <w:szCs w:val="32"/>
          <w:lang w:val="en-US" w:eastAsia="zh-CN"/>
        </w:rPr>
      </w:pPr>
    </w:p>
    <w:p>
      <w:pPr>
        <w:spacing w:line="560" w:lineRule="exact"/>
        <w:ind w:right="-506" w:rightChars="-241" w:firstLine="280" w:firstLineChars="100"/>
        <w:rPr>
          <w:rFonts w:hint="eastAsia" w:ascii="仿宋_GB2312" w:hAnsi="仿宋" w:eastAsia="仿宋_GB2312"/>
          <w:sz w:val="28"/>
          <w:szCs w:val="28"/>
        </w:rPr>
      </w:pPr>
      <w:r>
        <w:rPr>
          <w:rFonts w:hint="eastAsia" w:ascii="仿宋_GB2312" w:hAnsi="仿宋"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50165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95pt;height:0pt;width:441pt;z-index:251659264;mso-width-relative:page;mso-height-relative:page;" filled="f" stroked="t" coordsize="21600,21600" o:gfxdata="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rC4pbRAAAABAEAAA8AAAAAAAAA&#10;AQAgAAAAIgAAAGRycy9kb3ducmV2LnhtbFBLAQIUABQAAAAIAIdO4kAkffWs3wEAAKUDAAAOAAAA&#10;AAAAAAEAIAAAACABAABkcnMvZTJvRG9jLnhtbFBLBQYAAAAABgAGAFkBAABxBQAAAAA=&#10;">
                <v:fill on="f" focussize="0,0"/>
                <v:stroke weight="1.5pt" color="#000000" joinstyle="round"/>
                <v:imagedata o:title=""/>
                <o:lock v:ext="edit" aspectratio="f"/>
              </v:line>
            </w:pict>
          </mc:Fallback>
        </mc:AlternateContent>
      </w:r>
      <w:r>
        <w:rPr>
          <w:rFonts w:hint="eastAsia" w:ascii="仿宋_GB2312" w:hAnsi="仿宋" w:eastAsia="仿宋_GB2312"/>
          <w:sz w:val="28"/>
          <w:szCs w:val="28"/>
        </w:rPr>
        <w:t>福建省教育厅办公室                      20</w:t>
      </w:r>
      <w:r>
        <w:rPr>
          <w:rFonts w:hint="eastAsia" w:ascii="仿宋_GB2312" w:hAnsi="仿宋" w:eastAsia="仿宋_GB2312"/>
          <w:sz w:val="28"/>
          <w:szCs w:val="28"/>
          <w:lang w:val="en-US" w:eastAsia="zh-CN"/>
        </w:rPr>
        <w:t>21</w:t>
      </w:r>
      <w:r>
        <w:rPr>
          <w:rFonts w:hint="eastAsia" w:ascii="仿宋_GB2312" w:hAnsi="仿宋" w:eastAsia="仿宋_GB2312"/>
          <w:sz w:val="28"/>
          <w:szCs w:val="28"/>
        </w:rPr>
        <w:t>年</w:t>
      </w:r>
      <w:r>
        <w:rPr>
          <w:rFonts w:hint="eastAsia" w:ascii="仿宋_GB2312" w:hAnsi="仿宋" w:eastAsia="仿宋_GB2312"/>
          <w:sz w:val="28"/>
          <w:szCs w:val="28"/>
          <w:lang w:val="en-US" w:eastAsia="zh-CN"/>
        </w:rPr>
        <w:t>5</w:t>
      </w:r>
      <w:r>
        <w:rPr>
          <w:rFonts w:hint="eastAsia" w:ascii="仿宋_GB2312" w:hAnsi="仿宋" w:eastAsia="仿宋_GB2312"/>
          <w:sz w:val="28"/>
          <w:szCs w:val="28"/>
        </w:rPr>
        <w:t>月</w:t>
      </w:r>
      <w:r>
        <w:rPr>
          <w:rFonts w:hint="eastAsia" w:ascii="仿宋_GB2312" w:hAnsi="仿宋" w:eastAsia="仿宋_GB2312"/>
          <w:sz w:val="28"/>
          <w:szCs w:val="28"/>
          <w:lang w:val="en-US" w:eastAsia="zh-CN"/>
        </w:rPr>
        <w:t>13</w:t>
      </w:r>
      <w:r>
        <w:rPr>
          <w:rFonts w:hint="eastAsia" w:ascii="仿宋_GB2312" w:hAnsi="仿宋" w:eastAsia="仿宋_GB2312"/>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Style w:val="12"/>
          <w:rFonts w:hint="eastAsia"/>
          <w:i w:val="0"/>
          <w:color w:val="auto"/>
          <w:vertAlign w:val="superscript"/>
          <w:lang w:val="en-US" w:eastAsia="zh-CN" w:bidi="ar"/>
        </w:rPr>
      </w:pPr>
      <w:r>
        <w:rPr>
          <w:rFonts w:hint="eastAsia" w:ascii="仿宋_GB2312" w:hAnsi="仿宋" w:eastAsia="仿宋_GB231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73025</wp:posOffset>
                </wp:positionV>
                <wp:extent cx="560070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0700" cy="0"/>
                        </a:xfrm>
                        <a:prstGeom prst="straightConnector1">
                          <a:avLst/>
                        </a:prstGeom>
                        <a:ln w="19050"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pt;margin-top:5.75pt;height:0pt;width:441pt;z-index:251658240;mso-width-relative:page;mso-height-relative:page;" filled="f" stroked="t" coordsize="21600,21600" o:gfxdata="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xF/pHQAAAABgEAAA8A&#10;AAAAAAAAAQAgAAAAIgAAAGRycy9kb3ducmV2LnhtbFBLAQIUABQAAAAIAIdO4kAtfh525gEAAK0D&#10;AAAOAAAAAAAAAAEAIAAAAB8BAABkcnMvZTJvRG9jLnhtbFBLBQYAAAAABgAGAFkBAAB3BQAAAAA=&#10;">
                <v:fill on="f" focussize="0,0"/>
                <v:stroke weight="1.5pt" color="#000000" joinstyle="round"/>
                <v:imagedata o:title=""/>
                <o:lock v:ext="edit" aspectratio="f"/>
              </v:shape>
            </w:pict>
          </mc:Fallback>
        </mc:AlternateContent>
      </w:r>
    </w:p>
    <w:sectPr>
      <w:pgSz w:w="11906" w:h="16838"/>
      <w:pgMar w:top="1928" w:right="1587" w:bottom="1701" w:left="158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posOffset>5093970</wp:posOffset>
              </wp:positionH>
              <wp:positionV relativeFrom="paragraph">
                <wp:posOffset>-164465</wp:posOffset>
              </wp:positionV>
              <wp:extent cx="1828800" cy="4013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401320"/>
                      </a:xfrm>
                      <a:prstGeom prst="rect">
                        <a:avLst/>
                      </a:prstGeom>
                      <a:noFill/>
                      <a:ln w="6350">
                        <a:noFill/>
                      </a:ln>
                      <a:effectLst/>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1.1pt;margin-top:-12.95pt;height:31.6pt;width:144pt;mso-position-horizontal-relative:margin;mso-wrap-style:none;z-index:251664384;mso-width-relative:page;mso-height-relative:page;" filled="f" stroked="f" coordsize="21600,21600" o:gfxdata="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E2fH7a&#10;AAAACwEAAA8AAAAAAAAAAQAgAAAAIgAAAGRycy9kb3ducmV2LnhtbFBLAQIUABQAAAAIAIdO4kBj&#10;hGSsHgIAACAEAAAOAAAAAAAAAAEAIAAAACkBAABkcnMvZTJvRG9jLnhtbFBLBQYAAAAABgAGAFkB&#10;AAC5BQAAAAA=&#10;">
              <v:fill on="f" focussize="0,0"/>
              <v:stroke on="f" weight="0.5pt"/>
              <v:imagedata o:title=""/>
              <o:lock v:ext="edit" aspectratio="f"/>
              <v:textbox inset="0mm,0mm,0mm,0mm">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posOffset>3006725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75pt;margin-top:0pt;height:144pt;width:144pt;mso-position-horizontal-relative:margin;mso-wrap-style:none;z-index:251663360;mso-width-relative:page;mso-height-relative:page;" filled="f" stroked="f" coordsize="21600,21600" o:gfxdata="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RkhqNUAAAAIAQAADwAA&#10;AAAAAAABACAAAAAiAAAAZHJzL2Rvd25yZXYueG1sUEsBAhQAFAAAAAgAh07iQExQTjkZAgAAIQQA&#10;AA4AAAAAAAAAAQAgAAAAJ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C2942"/>
    <w:multiLevelType w:val="singleLevel"/>
    <w:tmpl w:val="5CBC294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96946"/>
    <w:rsid w:val="02E8616B"/>
    <w:rsid w:val="05696946"/>
    <w:rsid w:val="0F7454A0"/>
    <w:rsid w:val="114D4C37"/>
    <w:rsid w:val="1487093C"/>
    <w:rsid w:val="189719D4"/>
    <w:rsid w:val="194F2A4A"/>
    <w:rsid w:val="1A807750"/>
    <w:rsid w:val="22093260"/>
    <w:rsid w:val="2B685A6C"/>
    <w:rsid w:val="2E0841C2"/>
    <w:rsid w:val="30137B73"/>
    <w:rsid w:val="35C21F54"/>
    <w:rsid w:val="364C100E"/>
    <w:rsid w:val="3BF75766"/>
    <w:rsid w:val="413A412F"/>
    <w:rsid w:val="47502735"/>
    <w:rsid w:val="561D442A"/>
    <w:rsid w:val="65397E48"/>
    <w:rsid w:val="69E97C11"/>
    <w:rsid w:val="6CB76540"/>
    <w:rsid w:val="6CEE1F7D"/>
    <w:rsid w:val="6F5B4AF6"/>
    <w:rsid w:val="726306C1"/>
    <w:rsid w:val="78042AEB"/>
    <w:rsid w:val="7C5705D7"/>
    <w:rsid w:val="7D413ACF"/>
    <w:rsid w:val="7EE82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28"/>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微软雅黑"/>
      <w:b/>
      <w:sz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none"/>
    </w:rPr>
  </w:style>
  <w:style w:type="character" w:customStyle="1" w:styleId="12">
    <w:name w:val="font51"/>
    <w:basedOn w:val="10"/>
    <w:qFormat/>
    <w:uiPriority w:val="0"/>
    <w:rPr>
      <w:rFonts w:hint="eastAsia" w:ascii="宋体" w:hAnsi="宋体" w:eastAsia="宋体" w:cs="宋体"/>
      <w:b/>
      <w:color w:val="000000"/>
      <w:sz w:val="58"/>
      <w:szCs w:val="58"/>
      <w:u w:val="none"/>
      <w:vertAlign w:val="superscript"/>
    </w:rPr>
  </w:style>
  <w:style w:type="character" w:customStyle="1" w:styleId="13">
    <w:name w:val="font11"/>
    <w:qFormat/>
    <w:uiPriority w:val="0"/>
    <w:rPr>
      <w:rFonts w:hint="eastAsia" w:ascii="黑体" w:hAnsi="宋体" w:eastAsia="黑体" w:cs="黑体"/>
      <w:color w:val="000000"/>
      <w:sz w:val="22"/>
      <w:szCs w:val="22"/>
      <w:u w:val="none"/>
    </w:rPr>
  </w:style>
  <w:style w:type="character" w:customStyle="1" w:styleId="14">
    <w:name w:val="font01"/>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2020-04-15T09:05:00Z</dcterms:created>
  <dc:creator>谢石城</dc:creator>
  <cp:lastModifiedBy>金格科技</cp:lastModifiedBy>
  <cp:lastPrinted>2021-05-13T03:16:00Z</cp:lastPrinted>
  <dcterms:modified xsi:type="dcterms:W3CDTF">2021-05-13T09:14:59Z</dcterms:modified>
  <dc:title>闽教办职成〔2021〕6号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